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ABDF" w14:textId="77777777" w:rsidR="00874E5D" w:rsidRPr="00874E5D" w:rsidRDefault="00874E5D" w:rsidP="00874E5D">
      <w:pPr>
        <w:jc w:val="center"/>
        <w:rPr>
          <w:b/>
          <w:bCs/>
        </w:rPr>
      </w:pPr>
      <w:r w:rsidRPr="00874E5D">
        <w:rPr>
          <w:b/>
          <w:bCs/>
        </w:rPr>
        <w:t>ADATKEZELÉSI TÁJÉKOZTATÓ</w:t>
      </w:r>
    </w:p>
    <w:p w14:paraId="57CB6EDD" w14:textId="77777777" w:rsidR="00874E5D" w:rsidRPr="00874E5D" w:rsidRDefault="00874E5D" w:rsidP="00874E5D">
      <w:pPr>
        <w:jc w:val="center"/>
      </w:pPr>
      <w:r w:rsidRPr="00874E5D">
        <w:t>az integritást sértő eseményekről szóló bejelentések kezeléséről szóló adatkezelésekről</w:t>
      </w:r>
    </w:p>
    <w:p w14:paraId="0152B2F8" w14:textId="77777777" w:rsidR="00874E5D" w:rsidRPr="00874E5D" w:rsidRDefault="00874E5D" w:rsidP="00874E5D">
      <w:pPr>
        <w:jc w:val="both"/>
        <w:rPr>
          <w:b/>
          <w:bCs/>
        </w:rPr>
      </w:pPr>
      <w:r w:rsidRPr="00874E5D">
        <w:rPr>
          <w:b/>
          <w:bCs/>
        </w:rPr>
        <w:t>I. Az adatkezelő és képviselőjének elérhetősége</w:t>
      </w:r>
    </w:p>
    <w:p w14:paraId="6359B2A8" w14:textId="77777777" w:rsidR="00874E5D" w:rsidRDefault="00874E5D" w:rsidP="00874E5D">
      <w:pPr>
        <w:jc w:val="both"/>
      </w:pPr>
      <w:r w:rsidRPr="00874E5D">
        <w:t>Újpalotai Összevont Óvoda</w:t>
      </w:r>
    </w:p>
    <w:p w14:paraId="4F6DC7FB" w14:textId="77777777" w:rsidR="00874E5D" w:rsidRDefault="00874E5D" w:rsidP="00874E5D">
      <w:pPr>
        <w:jc w:val="both"/>
      </w:pPr>
      <w:r w:rsidRPr="00874E5D">
        <w:t>Székhely: 1157 Budapest, Páskom park 37.</w:t>
      </w:r>
    </w:p>
    <w:p w14:paraId="5CA88CAA" w14:textId="24D30B86" w:rsidR="00874E5D" w:rsidRPr="00874E5D" w:rsidRDefault="00874E5D" w:rsidP="00874E5D">
      <w:pPr>
        <w:jc w:val="both"/>
      </w:pPr>
      <w:r w:rsidRPr="00874E5D">
        <w:t>E-mail cím: kozpont@ujpalotaiovi.hu</w:t>
      </w:r>
    </w:p>
    <w:p w14:paraId="0F99CE0C" w14:textId="77777777" w:rsidR="00874E5D" w:rsidRDefault="00874E5D" w:rsidP="00874E5D">
      <w:pPr>
        <w:jc w:val="both"/>
      </w:pPr>
      <w:r w:rsidRPr="00874E5D">
        <w:t>Adatvédelmi tisztviselő elérhetősége:</w:t>
      </w:r>
    </w:p>
    <w:p w14:paraId="492934EB" w14:textId="5E5F785F" w:rsidR="00874E5D" w:rsidRPr="00874E5D" w:rsidRDefault="00874E5D" w:rsidP="00874E5D">
      <w:pPr>
        <w:jc w:val="both"/>
      </w:pPr>
      <w:r w:rsidRPr="00874E5D">
        <w:t>E-mail cím: dmp@dmp.hu</w:t>
      </w:r>
    </w:p>
    <w:p w14:paraId="46B50B74" w14:textId="77777777" w:rsidR="00874E5D" w:rsidRPr="00874E5D" w:rsidRDefault="00874E5D" w:rsidP="00874E5D">
      <w:pPr>
        <w:jc w:val="both"/>
        <w:rPr>
          <w:b/>
          <w:bCs/>
        </w:rPr>
      </w:pPr>
      <w:r w:rsidRPr="00874E5D">
        <w:rPr>
          <w:b/>
          <w:bCs/>
        </w:rPr>
        <w:t>II. Adatkezelés célja</w:t>
      </w:r>
    </w:p>
    <w:p w14:paraId="2A853942" w14:textId="77777777" w:rsidR="00874E5D" w:rsidRPr="00874E5D" w:rsidRDefault="00874E5D" w:rsidP="00874E5D">
      <w:pPr>
        <w:jc w:val="both"/>
      </w:pPr>
      <w:r w:rsidRPr="00874E5D">
        <w:t>Az adatok kezelésének célja a költségvetési szervek belső kontrollrendszeréről és belső ellenőrzéséről szóló 370/2011. (XII. 31.) Korm. rendelet alapján az Óvoda működésével összefüggő visszaélésekre, szabálytalanságokra és integritási, korrupciós kockázatokra vonatkozó integritást sértő bejelentések fogadása, kezelése és intézkedések megtétele.</w:t>
      </w:r>
    </w:p>
    <w:p w14:paraId="14ECA777" w14:textId="77777777" w:rsidR="00874E5D" w:rsidRPr="00874E5D" w:rsidRDefault="00874E5D" w:rsidP="00874E5D">
      <w:pPr>
        <w:jc w:val="both"/>
        <w:rPr>
          <w:b/>
          <w:bCs/>
        </w:rPr>
      </w:pPr>
      <w:r w:rsidRPr="00874E5D">
        <w:rPr>
          <w:b/>
          <w:bCs/>
        </w:rPr>
        <w:t>III. A kezelt adatok köre</w:t>
      </w:r>
    </w:p>
    <w:p w14:paraId="13AA7922" w14:textId="77777777" w:rsidR="00874E5D" w:rsidRDefault="00874E5D" w:rsidP="00874E5D">
      <w:pPr>
        <w:spacing w:after="0"/>
        <w:jc w:val="both"/>
      </w:pPr>
      <w:r w:rsidRPr="00874E5D">
        <w:t>a) bejelentő teljes neve,</w:t>
      </w:r>
    </w:p>
    <w:p w14:paraId="3B89B05F" w14:textId="77777777" w:rsidR="00874E5D" w:rsidRDefault="00874E5D" w:rsidP="00874E5D">
      <w:pPr>
        <w:spacing w:after="0"/>
        <w:jc w:val="both"/>
      </w:pPr>
      <w:r w:rsidRPr="00874E5D">
        <w:t>b) bejelentő elérhetősége (későbbi egyeztetésekhez, kapcsolatfelvételhez),</w:t>
      </w:r>
    </w:p>
    <w:p w14:paraId="55E145D6" w14:textId="26D103C0" w:rsidR="00874E5D" w:rsidRPr="00874E5D" w:rsidRDefault="00874E5D" w:rsidP="00874E5D">
      <w:pPr>
        <w:spacing w:after="0"/>
        <w:jc w:val="both"/>
      </w:pPr>
      <w:r w:rsidRPr="00874E5D">
        <w:t>c) a bejelentésében foglalt további (adott esetben 3. személyre vonatkozó) személyes adatok.</w:t>
      </w:r>
    </w:p>
    <w:p w14:paraId="163F5CC3" w14:textId="77777777" w:rsidR="00874E5D" w:rsidRDefault="00874E5D" w:rsidP="00874E5D">
      <w:pPr>
        <w:jc w:val="both"/>
        <w:rPr>
          <w:b/>
          <w:bCs/>
        </w:rPr>
      </w:pPr>
    </w:p>
    <w:p w14:paraId="626DE087" w14:textId="73A18384" w:rsidR="00874E5D" w:rsidRPr="00874E5D" w:rsidRDefault="00874E5D" w:rsidP="00874E5D">
      <w:pPr>
        <w:jc w:val="both"/>
        <w:rPr>
          <w:b/>
          <w:bCs/>
        </w:rPr>
      </w:pPr>
      <w:r w:rsidRPr="00874E5D">
        <w:rPr>
          <w:b/>
          <w:bCs/>
        </w:rPr>
        <w:t>IV. Az adatkezelés jogalapja</w:t>
      </w:r>
    </w:p>
    <w:p w14:paraId="2C4B7735" w14:textId="77777777" w:rsidR="00874E5D" w:rsidRPr="00874E5D" w:rsidRDefault="00874E5D" w:rsidP="00874E5D">
      <w:pPr>
        <w:jc w:val="both"/>
      </w:pPr>
      <w:r w:rsidRPr="00874E5D">
        <w:t>Jogszabályi kötelezettség teljesítése (GDPR 6. cikk (1) bekezdés c) pontja, a költségvetési szervek belső kontrollrendszeréről és belső ellenőrzéséről szóló 370/2011. (XII. 31.) Korm. rendelet 7. §).</w:t>
      </w:r>
    </w:p>
    <w:p w14:paraId="4B82FEEE" w14:textId="77777777" w:rsidR="00874E5D" w:rsidRPr="00874E5D" w:rsidRDefault="00874E5D" w:rsidP="00874E5D">
      <w:pPr>
        <w:jc w:val="both"/>
        <w:rPr>
          <w:b/>
          <w:bCs/>
        </w:rPr>
      </w:pPr>
      <w:r w:rsidRPr="00874E5D">
        <w:rPr>
          <w:b/>
          <w:bCs/>
        </w:rPr>
        <w:t>V. Az adatkezelés címzettjei</w:t>
      </w:r>
    </w:p>
    <w:p w14:paraId="30AFBDA5" w14:textId="77777777" w:rsidR="00874E5D" w:rsidRPr="00874E5D" w:rsidRDefault="00874E5D" w:rsidP="00874E5D">
      <w:pPr>
        <w:jc w:val="both"/>
      </w:pPr>
      <w:r w:rsidRPr="00874E5D">
        <w:t>A bejelentő személyére vonatkozó adatok más szervnek történő átadásához vagy nyilvánosságra hozatalához a bejelentő önkéntes és előzetes hozzájárulása szükséges.</w:t>
      </w:r>
    </w:p>
    <w:p w14:paraId="071C16D9" w14:textId="77777777" w:rsidR="00874E5D" w:rsidRPr="00874E5D" w:rsidRDefault="00874E5D" w:rsidP="00874E5D">
      <w:pPr>
        <w:jc w:val="both"/>
        <w:rPr>
          <w:b/>
          <w:bCs/>
        </w:rPr>
      </w:pPr>
      <w:r w:rsidRPr="00874E5D">
        <w:rPr>
          <w:b/>
          <w:bCs/>
        </w:rPr>
        <w:t>VI. Az adatkezelés időtartama</w:t>
      </w:r>
    </w:p>
    <w:p w14:paraId="5BA54657" w14:textId="77777777" w:rsidR="00874E5D" w:rsidRPr="00874E5D" w:rsidRDefault="00874E5D" w:rsidP="00874E5D">
      <w:pPr>
        <w:jc w:val="both"/>
      </w:pPr>
      <w:r w:rsidRPr="00874E5D">
        <w:t>Az Óvoda a személyes adatokat az önkormányzati hivatalok egységes irattári tervének kiadásáról szóló 78/2012. (XII.28.) BM rendelet és belső szabályzatok szerinti időtartamig őrzi meg.</w:t>
      </w:r>
    </w:p>
    <w:p w14:paraId="02720882" w14:textId="77777777" w:rsidR="00874E5D" w:rsidRPr="00874E5D" w:rsidRDefault="00874E5D" w:rsidP="00874E5D">
      <w:pPr>
        <w:jc w:val="both"/>
        <w:rPr>
          <w:b/>
          <w:bCs/>
        </w:rPr>
      </w:pPr>
      <w:r w:rsidRPr="00874E5D">
        <w:rPr>
          <w:b/>
          <w:bCs/>
        </w:rPr>
        <w:t>VII. Az adatok megismerésére jogosult személyek köre</w:t>
      </w:r>
    </w:p>
    <w:p w14:paraId="6BBD0E9C" w14:textId="77777777" w:rsidR="00874E5D" w:rsidRPr="00874E5D" w:rsidRDefault="00874E5D" w:rsidP="00874E5D">
      <w:pPr>
        <w:jc w:val="both"/>
      </w:pPr>
      <w:r w:rsidRPr="00874E5D">
        <w:t>Az adatok kezelését kizárólag az Óvoda erre felhatalmazott munkatársai végzik a feladataik ellátása érdekében. A tárolt adatokhoz hozzáférni kizárólag az arra kijelölt munkatársak jogosultak. Az Óvoda a személyes adatokat a székhelyén található szervereken és irattárban tárolja.</w:t>
      </w:r>
    </w:p>
    <w:p w14:paraId="75A5AF16" w14:textId="77777777" w:rsidR="00874E5D" w:rsidRPr="00874E5D" w:rsidRDefault="00874E5D" w:rsidP="00874E5D">
      <w:pPr>
        <w:jc w:val="both"/>
        <w:rPr>
          <w:b/>
          <w:bCs/>
        </w:rPr>
      </w:pPr>
      <w:r w:rsidRPr="00874E5D">
        <w:rPr>
          <w:b/>
          <w:bCs/>
        </w:rPr>
        <w:t>VIII. Alapvető adatbiztonsági intézkedések</w:t>
      </w:r>
    </w:p>
    <w:p w14:paraId="703ACF62" w14:textId="77777777" w:rsidR="00874E5D" w:rsidRPr="00874E5D" w:rsidRDefault="00874E5D" w:rsidP="00874E5D">
      <w:pPr>
        <w:jc w:val="both"/>
      </w:pPr>
      <w:r w:rsidRPr="00874E5D">
        <w:lastRenderedPageBreak/>
        <w:t>Az Óvoda a személyes adatokat a legnagyobb körültekintéssel, szigorúan bizalmasan, csak a szükséges mértékben, hozzájárulás esetén az azt adó személy esetleges rendelkezéseinek megfelelően kezeli.</w:t>
      </w:r>
    </w:p>
    <w:p w14:paraId="1B32CE20" w14:textId="77777777" w:rsidR="00874E5D" w:rsidRPr="00874E5D" w:rsidRDefault="00874E5D" w:rsidP="00874E5D">
      <w:pPr>
        <w:jc w:val="both"/>
      </w:pPr>
      <w:r w:rsidRPr="00874E5D">
        <w:t>Az Óvoda kiemelt gondossággal törekszik a személyes adatok biztonságos kezelésére, ezért megtette azokat a technikai és szervezési intézkedéseket, illetve kialakította azokat az eljárási szabályokat, amelyek az adatkezelési és adatvédelmi jogszabályok érvényre juttatásához szükségesek. Az Óvoda ezen intézkedéseket és szabályokat rendszeresen felülvizsgálja, és szükség esetén módosítja.</w:t>
      </w:r>
    </w:p>
    <w:p w14:paraId="1C056CAB" w14:textId="77777777" w:rsidR="00874E5D" w:rsidRPr="00874E5D" w:rsidRDefault="00874E5D" w:rsidP="00874E5D">
      <w:pPr>
        <w:jc w:val="both"/>
        <w:rPr>
          <w:b/>
          <w:bCs/>
        </w:rPr>
      </w:pPr>
      <w:r w:rsidRPr="00874E5D">
        <w:rPr>
          <w:b/>
          <w:bCs/>
        </w:rPr>
        <w:t>IX. Az adatkezeléssel érintettek jogai</w:t>
      </w:r>
    </w:p>
    <w:p w14:paraId="17268B8E" w14:textId="77777777" w:rsidR="00874E5D" w:rsidRPr="00874E5D" w:rsidRDefault="00874E5D" w:rsidP="00874E5D">
      <w:pPr>
        <w:jc w:val="both"/>
      </w:pPr>
      <w:r w:rsidRPr="00874E5D">
        <w:t>Az érintettek az alábbi jogérvényesítési lehetőségekkel élhetnek:</w:t>
      </w:r>
    </w:p>
    <w:p w14:paraId="179FBE55" w14:textId="77777777" w:rsidR="00874E5D" w:rsidRDefault="00874E5D" w:rsidP="00874E5D">
      <w:pPr>
        <w:numPr>
          <w:ilvl w:val="0"/>
          <w:numId w:val="1"/>
        </w:numPr>
        <w:jc w:val="both"/>
      </w:pPr>
      <w:r w:rsidRPr="00874E5D">
        <w:t>kérhetik tájékoztatásukat személyes adataik kezeléséről (hozzáféréshez való jog);</w:t>
      </w:r>
    </w:p>
    <w:p w14:paraId="3CC4793D" w14:textId="630A27A5" w:rsidR="00874E5D" w:rsidRPr="00874E5D" w:rsidRDefault="00874E5D" w:rsidP="00874E5D">
      <w:pPr>
        <w:ind w:left="720"/>
        <w:jc w:val="both"/>
      </w:pPr>
      <w:r w:rsidRPr="00874E5D">
        <w:t xml:space="preserve">tájékoztatást kérhetnek arra vonatkozóan, hogy személyes adataik kezelése folyamatban van-e, megismerhetik azt, hogy </w:t>
      </w:r>
    </w:p>
    <w:p w14:paraId="586BEAE8" w14:textId="77777777" w:rsidR="00874E5D" w:rsidRPr="00874E5D" w:rsidRDefault="00874E5D" w:rsidP="00874E5D">
      <w:pPr>
        <w:numPr>
          <w:ilvl w:val="1"/>
          <w:numId w:val="1"/>
        </w:numPr>
        <w:spacing w:after="0"/>
        <w:ind w:left="1434" w:hanging="357"/>
        <w:jc w:val="both"/>
      </w:pPr>
      <w:r w:rsidRPr="00874E5D">
        <w:t xml:space="preserve">az Óvoda milyen személyes adataikat, </w:t>
      </w:r>
    </w:p>
    <w:p w14:paraId="3F1FA6A4" w14:textId="77777777" w:rsidR="00874E5D" w:rsidRPr="00874E5D" w:rsidRDefault="00874E5D" w:rsidP="00874E5D">
      <w:pPr>
        <w:numPr>
          <w:ilvl w:val="1"/>
          <w:numId w:val="1"/>
        </w:numPr>
        <w:spacing w:after="0"/>
        <w:ind w:left="1434" w:hanging="357"/>
        <w:jc w:val="both"/>
      </w:pPr>
      <w:r w:rsidRPr="00874E5D">
        <w:t xml:space="preserve">milyen jogalapon, </w:t>
      </w:r>
    </w:p>
    <w:p w14:paraId="3C48ABAF" w14:textId="77777777" w:rsidR="00874E5D" w:rsidRPr="00874E5D" w:rsidRDefault="00874E5D" w:rsidP="00874E5D">
      <w:pPr>
        <w:numPr>
          <w:ilvl w:val="1"/>
          <w:numId w:val="1"/>
        </w:numPr>
        <w:spacing w:after="0"/>
        <w:ind w:left="1434" w:hanging="357"/>
        <w:jc w:val="both"/>
      </w:pPr>
      <w:r w:rsidRPr="00874E5D">
        <w:t xml:space="preserve">milyen adatkezelési cél miatt, </w:t>
      </w:r>
    </w:p>
    <w:p w14:paraId="4AEF24B3" w14:textId="77777777" w:rsidR="00874E5D" w:rsidRPr="00874E5D" w:rsidRDefault="00874E5D" w:rsidP="00874E5D">
      <w:pPr>
        <w:numPr>
          <w:ilvl w:val="1"/>
          <w:numId w:val="1"/>
        </w:numPr>
        <w:spacing w:after="0"/>
        <w:ind w:left="1434" w:hanging="357"/>
        <w:jc w:val="both"/>
      </w:pPr>
      <w:r w:rsidRPr="00874E5D">
        <w:t xml:space="preserve">mennyi ideig kezeli; továbbá, hogy </w:t>
      </w:r>
    </w:p>
    <w:p w14:paraId="535FD5D8" w14:textId="77777777" w:rsidR="00874E5D" w:rsidRPr="00874E5D" w:rsidRDefault="00874E5D" w:rsidP="00874E5D">
      <w:pPr>
        <w:numPr>
          <w:ilvl w:val="1"/>
          <w:numId w:val="1"/>
        </w:numPr>
        <w:spacing w:after="0"/>
        <w:ind w:left="1434" w:hanging="357"/>
        <w:jc w:val="both"/>
      </w:pPr>
      <w:r w:rsidRPr="00874E5D">
        <w:t xml:space="preserve">az Óvoda kinek, mikor, milyen jogszabály alapján, mely személyes adataikhoz biztosított hozzáférést vagy kinek továbbította a személyes adataikat; </w:t>
      </w:r>
    </w:p>
    <w:p w14:paraId="1E9BB21D" w14:textId="77777777" w:rsidR="00874E5D" w:rsidRPr="00874E5D" w:rsidRDefault="00874E5D" w:rsidP="00874E5D">
      <w:pPr>
        <w:numPr>
          <w:ilvl w:val="1"/>
          <w:numId w:val="1"/>
        </w:numPr>
        <w:spacing w:after="0"/>
        <w:ind w:left="1434" w:hanging="357"/>
        <w:jc w:val="both"/>
      </w:pPr>
      <w:r w:rsidRPr="00874E5D">
        <w:t xml:space="preserve">milyen forrásból származnak a személyes adataik; </w:t>
      </w:r>
    </w:p>
    <w:p w14:paraId="2AF1B2CD" w14:textId="486DBA53" w:rsidR="00874E5D" w:rsidRDefault="00874E5D" w:rsidP="00874E5D">
      <w:pPr>
        <w:numPr>
          <w:ilvl w:val="1"/>
          <w:numId w:val="1"/>
        </w:numPr>
        <w:spacing w:after="0"/>
        <w:ind w:left="1434" w:hanging="357"/>
        <w:jc w:val="both"/>
      </w:pPr>
      <w:r w:rsidRPr="00874E5D">
        <w:t xml:space="preserve">történik-e automatikus döntéshozatal, illetve annak mi a logikája, ideértve a profilalkotást is </w:t>
      </w:r>
    </w:p>
    <w:p w14:paraId="402B28B6" w14:textId="445C7B44" w:rsidR="00874E5D" w:rsidRPr="00874E5D" w:rsidRDefault="00874E5D" w:rsidP="00874E5D">
      <w:pPr>
        <w:jc w:val="both"/>
      </w:pPr>
      <w:r w:rsidRPr="00874E5D">
        <w:t>Az adatbiztonság követelményének teljesülése és az érintett jogainak védelme érdekében az Óvoda köteles meggyőződni az érintett és a hozzáférési jogával élni kívánó személy személyazonosságának egyezőségéről, ennek érdekében a tájékoztatás, az adatokba történő betekintés, illetve azokról másolat kiadása is az érintett személyének azonosításához kötött.</w:t>
      </w:r>
    </w:p>
    <w:p w14:paraId="52C5A542" w14:textId="77777777" w:rsidR="00874E5D" w:rsidRPr="00874E5D" w:rsidRDefault="00874E5D" w:rsidP="00874E5D">
      <w:pPr>
        <w:jc w:val="both"/>
      </w:pPr>
      <w:r w:rsidRPr="00874E5D">
        <w:t>Az Óvoda az adatkezelés tárgyát képező személyes adatok másolatát első alkalommal díjmentesen bocsátja az érintett rendelkezésére, ezt követően adminisztratív költségeken alapuló ésszerű díjat számolhat fel.</w:t>
      </w:r>
    </w:p>
    <w:p w14:paraId="65B98332" w14:textId="43FC4A90" w:rsidR="00874E5D" w:rsidRDefault="00874E5D" w:rsidP="00874E5D">
      <w:pPr>
        <w:pStyle w:val="Listaszerbekezds"/>
        <w:numPr>
          <w:ilvl w:val="0"/>
          <w:numId w:val="3"/>
        </w:numPr>
        <w:jc w:val="both"/>
      </w:pPr>
      <w:r>
        <w:t>kérhetik személyes adataiknak helyesbítését vagy kiegészítését;</w:t>
      </w:r>
    </w:p>
    <w:p w14:paraId="18EAF35A" w14:textId="77777777" w:rsidR="00874E5D" w:rsidRDefault="00874E5D" w:rsidP="00874E5D">
      <w:pPr>
        <w:ind w:left="708"/>
        <w:jc w:val="both"/>
      </w:pPr>
      <w:r>
        <w:t>az érintettek kérhetik, hogy az Óvoda módosítsa vagy egészítse ki a pontatlan vagy hiányos személyes adatokat, amennyiben hitelt érdemlően igazolni tudják a helyesbített adat pontosságát, vagy kiegészítés szükségességét, amely kérelemnek az Óvoda indokolatlan késedelem nélkül eleget tesz és erről az érintetteteket az általuk megadott elérhetőségen értesíti;</w:t>
      </w:r>
    </w:p>
    <w:p w14:paraId="0886838A" w14:textId="7C453A6B" w:rsidR="00874E5D" w:rsidRDefault="00874E5D" w:rsidP="00874E5D">
      <w:pPr>
        <w:pStyle w:val="Listaszerbekezds"/>
        <w:numPr>
          <w:ilvl w:val="0"/>
          <w:numId w:val="4"/>
        </w:numPr>
        <w:jc w:val="both"/>
      </w:pPr>
      <w:r>
        <w:t>kérhetik személyes adataik törlését;</w:t>
      </w:r>
    </w:p>
    <w:p w14:paraId="2B70EF52" w14:textId="77777777" w:rsidR="00874E5D" w:rsidRDefault="00874E5D" w:rsidP="00874E5D">
      <w:pPr>
        <w:ind w:left="708"/>
        <w:jc w:val="both"/>
      </w:pPr>
      <w:r>
        <w:t>az érintettek élhetnek a törléshez való jogukkal, ha további közhatalmi jogosítvány gyakorlása keretében végzett, vagy a közérdekű feladat végrehajtásához, illetve az Óvoda jogi kötelezettségének a teljesítéséhez az adat nem szükséges.</w:t>
      </w:r>
    </w:p>
    <w:p w14:paraId="2699DA62" w14:textId="77777777" w:rsidR="00874E5D" w:rsidRDefault="00874E5D" w:rsidP="00874E5D">
      <w:pPr>
        <w:pStyle w:val="Listaszerbekezds"/>
        <w:numPr>
          <w:ilvl w:val="0"/>
          <w:numId w:val="4"/>
        </w:numPr>
        <w:jc w:val="both"/>
      </w:pPr>
      <w:r>
        <w:t>kérhetik személyes adataik kezelésének korlátozását (zároláshoz való jog);</w:t>
      </w:r>
    </w:p>
    <w:p w14:paraId="775BA0EA" w14:textId="77777777" w:rsidR="00874E5D" w:rsidRDefault="00874E5D" w:rsidP="00874E5D">
      <w:pPr>
        <w:ind w:left="708"/>
        <w:jc w:val="both"/>
      </w:pPr>
      <w:r>
        <w:t>az érintettek kérhetik személyes adataik kezelésének korlátozását (az adatkezelés korlátozott jellegének egyértelmű jelölésével és egyéb adatoktól elkülönített kezelés biztosításával) amennyiben:</w:t>
      </w:r>
    </w:p>
    <w:p w14:paraId="11391D82" w14:textId="77777777" w:rsidR="00874E5D" w:rsidRDefault="00874E5D" w:rsidP="00874E5D">
      <w:pPr>
        <w:pStyle w:val="Listaszerbekezds"/>
        <w:numPr>
          <w:ilvl w:val="1"/>
          <w:numId w:val="4"/>
        </w:numPr>
        <w:jc w:val="both"/>
      </w:pPr>
      <w:r>
        <w:lastRenderedPageBreak/>
        <w:t>vitatják a személyes adataik pontosságát, annak ellenőrzése időtartamára</w:t>
      </w:r>
    </w:p>
    <w:p w14:paraId="572DB84D" w14:textId="77777777" w:rsidR="00874E5D" w:rsidRDefault="00874E5D" w:rsidP="00874E5D">
      <w:pPr>
        <w:pStyle w:val="Listaszerbekezds"/>
        <w:numPr>
          <w:ilvl w:val="1"/>
          <w:numId w:val="4"/>
        </w:numPr>
        <w:jc w:val="both"/>
      </w:pPr>
      <w:r>
        <w:t>az adatkezelés jogellenessége esetén, ha az érintettek ellenzik az adatok törlését,</w:t>
      </w:r>
    </w:p>
    <w:p w14:paraId="10044508" w14:textId="77777777" w:rsidR="00874E5D" w:rsidRDefault="00874E5D" w:rsidP="00874E5D">
      <w:pPr>
        <w:pStyle w:val="Listaszerbekezds"/>
        <w:numPr>
          <w:ilvl w:val="1"/>
          <w:numId w:val="4"/>
        </w:numPr>
        <w:jc w:val="both"/>
      </w:pPr>
      <w:r>
        <w:t>az Óvodának már nincs szüksége a személyes adatokra adatkezelés céljából, de az érintettek igénylik azokat jogi igények előterjesztéséhez, érvényesítéséhez vagy védelméhez,</w:t>
      </w:r>
    </w:p>
    <w:p w14:paraId="0ED8FC55" w14:textId="77777777" w:rsidR="00874E5D" w:rsidRDefault="00874E5D" w:rsidP="00874E5D">
      <w:pPr>
        <w:pStyle w:val="Listaszerbekezds"/>
        <w:numPr>
          <w:ilvl w:val="1"/>
          <w:numId w:val="4"/>
        </w:numPr>
        <w:jc w:val="both"/>
      </w:pPr>
      <w:r>
        <w:t>az érintett tiltakozott az adatkezelés ellen (ez esetben a korlátozás arra az időtartamra vonatkozik, amíg megállapításra kerül, hogy az Óvoda jogos indokai elsőbbséget élveznek-e az érintett jogos indokaival szemben);</w:t>
      </w:r>
    </w:p>
    <w:p w14:paraId="3554F3BD" w14:textId="77777777" w:rsidR="00874E5D" w:rsidRDefault="00874E5D" w:rsidP="00874E5D">
      <w:pPr>
        <w:pStyle w:val="Listaszerbekezds"/>
        <w:numPr>
          <w:ilvl w:val="0"/>
          <w:numId w:val="4"/>
        </w:numPr>
        <w:jc w:val="both"/>
      </w:pPr>
      <w:r>
        <w:t>tiltakozhatnak személyes adataik kezelése ellen:</w:t>
      </w:r>
    </w:p>
    <w:p w14:paraId="17176F9B" w14:textId="77777777" w:rsidR="00874E5D" w:rsidRDefault="00874E5D" w:rsidP="00874E5D">
      <w:pPr>
        <w:ind w:left="708"/>
        <w:jc w:val="both"/>
      </w:pPr>
      <w:r>
        <w:t xml:space="preserve">az Óvoda fent megadott elérhetőségein keresztül saját helyzetével kapcsolatos okokból bármikor tiltakozhat az érintett az adatkezelés ellen, ha álláspontja szerint az Óvoda a személyes adatát a jelen adatkezelési tájékoztatóban megjelölt céllal összefüggésben nem megfelelően kezelné. Ebben az esetben az Óvoda a személyes adatokat nem kezelheti tovább, kivéve, ha az adatkezelés olyan kényszerítő </w:t>
      </w:r>
      <w:proofErr w:type="spellStart"/>
      <w:r>
        <w:t>erejű</w:t>
      </w:r>
      <w:proofErr w:type="spellEnd"/>
      <w:r>
        <w:t xml:space="preserve"> jogos okok indokolják, amelyek elsőbbséget élveznek az érintett érdekeivel, jogaival és szabadságaival szemben, vagy amelyek jogi igények előterjesztéséhez, érvényesítéséhez vagy védelméhez kapcsolódnak.</w:t>
      </w:r>
    </w:p>
    <w:p w14:paraId="0DB63A10" w14:textId="77777777" w:rsidR="00874E5D" w:rsidRDefault="00874E5D" w:rsidP="00874E5D">
      <w:pPr>
        <w:jc w:val="both"/>
      </w:pPr>
      <w:r>
        <w:t>Az érintettek fenti jogaik gyakorlása iránt az Óvoda egyik elérhetőségén keresztül benyújtott kérelmét az Óvoda a kérelem benyújtásától számított egy hónapon belül teljesíti. Ez a határidő további két hónappal meghosszabbításra kerülhet, ha az érintett kérelme összetett, vagy egyidejűleg több kérelem kerül benyújtásra. Az Óvoda az érintettet a kérelem benyújtásától számított egy hónapon belül tájékoztatja a határidő meghosszabbításáról és annak indokáról.</w:t>
      </w:r>
    </w:p>
    <w:p w14:paraId="22DE32A2" w14:textId="77777777" w:rsidR="00874E5D" w:rsidRDefault="00874E5D" w:rsidP="00874E5D">
      <w:pPr>
        <w:jc w:val="both"/>
      </w:pPr>
    </w:p>
    <w:p w14:paraId="3164B543" w14:textId="64FBC7C5" w:rsidR="00874E5D" w:rsidRPr="00874E5D" w:rsidRDefault="00874E5D" w:rsidP="00874E5D">
      <w:pPr>
        <w:jc w:val="both"/>
        <w:rPr>
          <w:b/>
          <w:bCs/>
        </w:rPr>
      </w:pPr>
      <w:r w:rsidRPr="00874E5D">
        <w:rPr>
          <w:b/>
          <w:bCs/>
        </w:rPr>
        <w:t>X. Jogorvoslati lehetőségek</w:t>
      </w:r>
    </w:p>
    <w:p w14:paraId="3A45FD6B" w14:textId="14E46EA7" w:rsidR="00874E5D" w:rsidRDefault="00874E5D" w:rsidP="00874E5D">
      <w:pPr>
        <w:jc w:val="both"/>
      </w:pPr>
      <w:r>
        <w:t>Az adatkezeléssel kapcsolatos jogai igényérvényesítését, panaszát írásban, elektronikus úton vagy személyesen terjesztheti elő a fenti elérhetőségek valamelyikén. A kérelmet, panaszt annak tartalma alapján az Óvoda 30 napon belül elbírálja, megvizsgálja. Jogainak érvényesítése céljából az Óvoda intézkedéseinek jogszerűségének vizsgálata céljából, vagy ha az Ön megítélése szerint az Óvoda adatkezelése nem felel meg a jogszabályi követelményeknek, akkor a Nemzeti Adatvédelmi és Információszabadság Hatóság hatósági eljárását kezdeményezheti.</w:t>
      </w:r>
    </w:p>
    <w:p w14:paraId="2D532EA7" w14:textId="72D7CBC8" w:rsidR="00874E5D" w:rsidRDefault="00874E5D" w:rsidP="00874E5D">
      <w:pPr>
        <w:jc w:val="both"/>
      </w:pPr>
      <w:r>
        <w:t>A felügyeleti hatóság neve és elérhetősége:</w:t>
      </w:r>
    </w:p>
    <w:p w14:paraId="6B318246" w14:textId="77777777" w:rsidR="00874E5D" w:rsidRDefault="00874E5D" w:rsidP="00874E5D">
      <w:pPr>
        <w:spacing w:after="0"/>
        <w:jc w:val="both"/>
      </w:pPr>
      <w:r>
        <w:t>Név: Nemzeti Adatvédelmi és Információszabadság Hatóság</w:t>
      </w:r>
    </w:p>
    <w:p w14:paraId="655FADD0" w14:textId="77777777" w:rsidR="00874E5D" w:rsidRDefault="00874E5D" w:rsidP="00874E5D">
      <w:pPr>
        <w:spacing w:after="0"/>
        <w:jc w:val="both"/>
      </w:pPr>
      <w:r>
        <w:t>Székhely: 1055 Budapest, Falk Miksa u. 9-11.</w:t>
      </w:r>
    </w:p>
    <w:p w14:paraId="229C0478" w14:textId="77777777" w:rsidR="00874E5D" w:rsidRDefault="00874E5D" w:rsidP="00874E5D">
      <w:pPr>
        <w:spacing w:after="0"/>
        <w:jc w:val="both"/>
      </w:pPr>
      <w:r>
        <w:t>Levelezési cím: 1363 Budapest, Pf.: 9.</w:t>
      </w:r>
    </w:p>
    <w:p w14:paraId="5AFB5733" w14:textId="5BB1ABCB" w:rsidR="00874E5D" w:rsidRDefault="00874E5D" w:rsidP="00874E5D">
      <w:pPr>
        <w:spacing w:after="0"/>
        <w:jc w:val="both"/>
      </w:pPr>
      <w:r>
        <w:t>E-mail: ugyfelszolgalat@naih.hu</w:t>
      </w:r>
    </w:p>
    <w:p w14:paraId="679BB13C" w14:textId="4A187991" w:rsidR="00874E5D" w:rsidRDefault="00874E5D" w:rsidP="00874E5D">
      <w:pPr>
        <w:spacing w:after="0"/>
        <w:jc w:val="both"/>
      </w:pPr>
      <w:r>
        <w:t>Honlap: http://www.naih.hu</w:t>
      </w:r>
    </w:p>
    <w:p w14:paraId="1C2C1609" w14:textId="77777777" w:rsidR="00874E5D" w:rsidRDefault="00874E5D" w:rsidP="00874E5D">
      <w:pPr>
        <w:jc w:val="both"/>
      </w:pPr>
    </w:p>
    <w:p w14:paraId="0E729EA4" w14:textId="2A2BCEF9" w:rsidR="00874E5D" w:rsidRDefault="00874E5D" w:rsidP="00874E5D">
      <w:pPr>
        <w:jc w:val="both"/>
      </w:pPr>
      <w:r>
        <w:t>Bírósági jogérvényesítés</w:t>
      </w:r>
    </w:p>
    <w:p w14:paraId="77182117" w14:textId="4E0D0814" w:rsidR="00C62D70" w:rsidRDefault="00874E5D" w:rsidP="00874E5D">
      <w:pPr>
        <w:jc w:val="both"/>
      </w:pPr>
      <w:r>
        <w:t xml:space="preserve">Közvetlenül a bírósághoz is fordulhat, ha az Ön megítélése szerint az Óvoda az adatkezelése során jogszabályt sért, vagy a jogszabálysértő eljárása során Önnek kárt okoz. A bíróság az ügyben soron kívül jár el. A pert Ön – választásának megfelelően – a Fővárosi Törvényszék vagy </w:t>
      </w:r>
      <w:proofErr w:type="gramStart"/>
      <w:r>
        <w:t>lakóhelye</w:t>
      </w:r>
      <w:proofErr w:type="gramEnd"/>
      <w:r>
        <w:t xml:space="preserve"> vagy tartózkodási helye szerint illetékes törvényszék előtt is megindíthatja. Az illetékes törvényszék megkereshető a </w:t>
      </w:r>
      <w:hyperlink r:id="rId7" w:history="1">
        <w:r w:rsidRPr="003C2F7D">
          <w:rPr>
            <w:rStyle w:val="Hiperhivatkozs"/>
          </w:rPr>
          <w:t>https://birosag.hu/birosag-kereso</w:t>
        </w:r>
      </w:hyperlink>
      <w:r>
        <w:t xml:space="preserve"> kereső oldalon.</w:t>
      </w:r>
    </w:p>
    <w:sectPr w:rsidR="00C62D70" w:rsidSect="00D90235">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06EE" w14:textId="77777777" w:rsidR="00AE268D" w:rsidRDefault="00AE268D" w:rsidP="00D90235">
      <w:pPr>
        <w:spacing w:after="0" w:line="240" w:lineRule="auto"/>
      </w:pPr>
      <w:r>
        <w:separator/>
      </w:r>
    </w:p>
  </w:endnote>
  <w:endnote w:type="continuationSeparator" w:id="0">
    <w:p w14:paraId="54073692" w14:textId="77777777" w:rsidR="00AE268D" w:rsidRDefault="00AE268D" w:rsidP="00D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1685" w14:textId="77777777" w:rsidR="00AE268D" w:rsidRDefault="00AE268D" w:rsidP="00D90235">
      <w:pPr>
        <w:spacing w:after="0" w:line="240" w:lineRule="auto"/>
      </w:pPr>
      <w:r>
        <w:separator/>
      </w:r>
    </w:p>
  </w:footnote>
  <w:footnote w:type="continuationSeparator" w:id="0">
    <w:p w14:paraId="3BB3E067" w14:textId="77777777" w:rsidR="00AE268D" w:rsidRDefault="00AE268D" w:rsidP="00D90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csostblzat"/>
      <w:tblW w:w="9067" w:type="dxa"/>
      <w:tblBorders>
        <w:insideH w:val="none" w:sz="0" w:space="0" w:color="auto"/>
        <w:insideV w:val="none" w:sz="0" w:space="0" w:color="auto"/>
      </w:tblBorders>
      <w:tblLook w:val="04A0" w:firstRow="1" w:lastRow="0" w:firstColumn="1" w:lastColumn="0" w:noHBand="0" w:noVBand="1"/>
    </w:tblPr>
    <w:tblGrid>
      <w:gridCol w:w="6516"/>
      <w:gridCol w:w="2551"/>
    </w:tblGrid>
    <w:tr w:rsidR="00D90235" w:rsidRPr="00F15CF1" w14:paraId="3970866E" w14:textId="77777777" w:rsidTr="00BE16A9">
      <w:trPr>
        <w:trHeight w:val="1141"/>
      </w:trPr>
      <w:tc>
        <w:tcPr>
          <w:tcW w:w="6516" w:type="dxa"/>
        </w:tcPr>
        <w:p w14:paraId="3EE02F81" w14:textId="77777777" w:rsidR="00D90235" w:rsidRPr="00F15CF1" w:rsidRDefault="00D90235" w:rsidP="00D90235">
          <w:pPr>
            <w:jc w:val="right"/>
            <w:rPr>
              <w:rFonts w:ascii="Century Gothic" w:eastAsia="Aptos" w:hAnsi="Century Gothic" w:cs="Arial"/>
              <w:b/>
              <w:bCs/>
              <w:sz w:val="18"/>
              <w:szCs w:val="18"/>
            </w:rPr>
          </w:pPr>
          <w:r w:rsidRPr="00F15CF1">
            <w:rPr>
              <w:rFonts w:ascii="Aptos" w:eastAsia="Aptos" w:hAnsi="Aptos" w:cs="Times New Roman"/>
              <w:noProof/>
            </w:rPr>
            <w:drawing>
              <wp:anchor distT="0" distB="0" distL="114300" distR="114300" simplePos="0" relativeHeight="251659264" behindDoc="0" locked="0" layoutInCell="1" allowOverlap="1" wp14:anchorId="2CE1F62A" wp14:editId="73AD78AE">
                <wp:simplePos x="0" y="0"/>
                <wp:positionH relativeFrom="column">
                  <wp:posOffset>118110</wp:posOffset>
                </wp:positionH>
                <wp:positionV relativeFrom="paragraph">
                  <wp:posOffset>113030</wp:posOffset>
                </wp:positionV>
                <wp:extent cx="746760" cy="950781"/>
                <wp:effectExtent l="0" t="0" r="0" b="1905"/>
                <wp:wrapNone/>
                <wp:docPr id="9789565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6760" cy="9507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B460D" w14:textId="77777777" w:rsidR="00D90235" w:rsidRPr="00F15CF1" w:rsidRDefault="00D90235" w:rsidP="00D90235">
          <w:pPr>
            <w:ind w:left="1452"/>
            <w:jc w:val="center"/>
            <w:rPr>
              <w:rFonts w:ascii="Century Gothic" w:eastAsia="Aptos" w:hAnsi="Century Gothic" w:cs="Arial"/>
              <w:b/>
              <w:bCs/>
              <w:sz w:val="18"/>
              <w:szCs w:val="18"/>
            </w:rPr>
          </w:pPr>
          <w:r w:rsidRPr="00F15CF1">
            <w:rPr>
              <w:rFonts w:ascii="Century Gothic" w:eastAsia="Aptos" w:hAnsi="Century Gothic" w:cs="Arial"/>
              <w:b/>
              <w:bCs/>
              <w:sz w:val="18"/>
              <w:szCs w:val="18"/>
            </w:rPr>
            <w:t>Budapest Főváros XV. kerületi Önkormányzat</w:t>
          </w:r>
        </w:p>
        <w:p w14:paraId="2F0B2090" w14:textId="77777777" w:rsidR="00D90235" w:rsidRPr="00F15CF1" w:rsidRDefault="00D90235" w:rsidP="00D90235">
          <w:pPr>
            <w:ind w:left="1452"/>
            <w:jc w:val="center"/>
            <w:rPr>
              <w:rFonts w:ascii="Century Gothic" w:eastAsia="Aptos" w:hAnsi="Century Gothic" w:cs="Arial"/>
              <w:b/>
              <w:bCs/>
              <w:sz w:val="18"/>
              <w:szCs w:val="18"/>
            </w:rPr>
          </w:pPr>
          <w:r w:rsidRPr="00F15CF1">
            <w:rPr>
              <w:rFonts w:ascii="Century Gothic" w:eastAsia="Aptos" w:hAnsi="Century Gothic" w:cs="Arial"/>
              <w:b/>
              <w:bCs/>
              <w:sz w:val="18"/>
              <w:szCs w:val="18"/>
            </w:rPr>
            <w:t>Újpalotai Összevont Óvoda</w:t>
          </w:r>
        </w:p>
        <w:p w14:paraId="58ED04DC" w14:textId="77777777" w:rsidR="00D90235" w:rsidRPr="00F15CF1" w:rsidRDefault="00D90235" w:rsidP="00D90235">
          <w:pPr>
            <w:ind w:left="1452"/>
            <w:jc w:val="center"/>
            <w:rPr>
              <w:rFonts w:ascii="Century Gothic" w:eastAsia="Aptos" w:hAnsi="Century Gothic" w:cs="Times New Roman"/>
              <w:sz w:val="18"/>
              <w:szCs w:val="18"/>
            </w:rPr>
          </w:pPr>
          <w:r w:rsidRPr="00F15CF1">
            <w:rPr>
              <w:rFonts w:ascii="Century Gothic" w:eastAsia="Aptos" w:hAnsi="Century Gothic" w:cs="Arial"/>
              <w:sz w:val="18"/>
              <w:szCs w:val="18"/>
            </w:rPr>
            <w:t>1157 Budapest, Páskom park 37.</w:t>
          </w:r>
        </w:p>
        <w:p w14:paraId="17E04FE1" w14:textId="77777777" w:rsidR="00D90235" w:rsidRPr="00F15CF1" w:rsidRDefault="00D90235" w:rsidP="00D90235">
          <w:pPr>
            <w:ind w:left="1452"/>
            <w:jc w:val="center"/>
            <w:rPr>
              <w:rFonts w:ascii="Century Gothic" w:eastAsia="Aptos" w:hAnsi="Century Gothic" w:cs="Times New Roman"/>
              <w:sz w:val="18"/>
              <w:szCs w:val="18"/>
            </w:rPr>
          </w:pPr>
          <w:r w:rsidRPr="00F15CF1">
            <w:rPr>
              <w:rFonts w:ascii="Century Gothic" w:eastAsia="Aptos" w:hAnsi="Century Gothic" w:cs="Arial"/>
              <w:sz w:val="18"/>
              <w:szCs w:val="18"/>
            </w:rPr>
            <w:t xml:space="preserve">E-mail: </w:t>
          </w:r>
          <w:hyperlink r:id="rId2" w:history="1">
            <w:r w:rsidRPr="00F15CF1">
              <w:rPr>
                <w:rFonts w:ascii="Century Gothic" w:eastAsia="Aptos" w:hAnsi="Century Gothic" w:cs="Arial"/>
                <w:color w:val="467886"/>
                <w:sz w:val="18"/>
                <w:szCs w:val="18"/>
                <w:u w:val="single"/>
              </w:rPr>
              <w:t>kozpont@ujpalotaiovi.hu</w:t>
            </w:r>
          </w:hyperlink>
        </w:p>
        <w:p w14:paraId="13652A0E" w14:textId="77777777" w:rsidR="00D90235" w:rsidRPr="00F15CF1" w:rsidRDefault="00D90235" w:rsidP="00D90235">
          <w:pPr>
            <w:ind w:left="1452"/>
            <w:jc w:val="center"/>
            <w:rPr>
              <w:rFonts w:ascii="Century Gothic" w:eastAsia="Aptos" w:hAnsi="Century Gothic" w:cs="Arial"/>
              <w:b/>
              <w:bCs/>
              <w:sz w:val="18"/>
              <w:szCs w:val="18"/>
            </w:rPr>
          </w:pPr>
        </w:p>
        <w:p w14:paraId="2B0B2138" w14:textId="77777777" w:rsidR="00D90235" w:rsidRPr="00F15CF1" w:rsidRDefault="00D90235" w:rsidP="00D90235">
          <w:pPr>
            <w:ind w:left="1452"/>
            <w:jc w:val="center"/>
            <w:rPr>
              <w:rFonts w:ascii="Century Gothic" w:eastAsia="Aptos" w:hAnsi="Century Gothic" w:cs="Times New Roman"/>
              <w:b/>
              <w:bCs/>
              <w:sz w:val="18"/>
              <w:szCs w:val="18"/>
            </w:rPr>
          </w:pPr>
          <w:r w:rsidRPr="00F15CF1">
            <w:rPr>
              <w:rFonts w:ascii="Century Gothic" w:eastAsia="Aptos" w:hAnsi="Century Gothic" w:cs="Arial"/>
              <w:b/>
              <w:bCs/>
              <w:sz w:val="18"/>
              <w:szCs w:val="18"/>
            </w:rPr>
            <w:t>OM azonosító: 201552</w:t>
          </w:r>
        </w:p>
        <w:p w14:paraId="65063BC8" w14:textId="77777777" w:rsidR="00D90235" w:rsidRPr="00F15CF1" w:rsidRDefault="00D90235" w:rsidP="00D90235">
          <w:pPr>
            <w:rPr>
              <w:rFonts w:ascii="Century Gothic" w:eastAsia="Aptos" w:hAnsi="Century Gothic" w:cs="Times New Roman"/>
              <w:b/>
              <w:bCs/>
              <w:sz w:val="18"/>
              <w:szCs w:val="18"/>
            </w:rPr>
          </w:pPr>
          <w:r w:rsidRPr="00F15CF1">
            <w:rPr>
              <w:rFonts w:ascii="Century Gothic" w:eastAsia="Aptos" w:hAnsi="Century Gothic" w:cs="Times New Roman"/>
              <w:b/>
              <w:bCs/>
              <w:sz w:val="18"/>
              <w:szCs w:val="18"/>
            </w:rPr>
            <w:t xml:space="preserve">                                                                                                       </w:t>
          </w:r>
        </w:p>
      </w:tc>
      <w:tc>
        <w:tcPr>
          <w:tcW w:w="2551" w:type="dxa"/>
        </w:tcPr>
        <w:p w14:paraId="3B304AB6" w14:textId="77777777" w:rsidR="00D90235" w:rsidRPr="00F15CF1" w:rsidRDefault="00D90235" w:rsidP="00D90235">
          <w:pPr>
            <w:jc w:val="center"/>
            <w:rPr>
              <w:rFonts w:ascii="Century Gothic" w:eastAsia="Aptos" w:hAnsi="Century Gothic" w:cs="Times New Roman"/>
              <w:b/>
              <w:bCs/>
              <w:sz w:val="18"/>
              <w:szCs w:val="18"/>
            </w:rPr>
          </w:pPr>
        </w:p>
        <w:p w14:paraId="46AF06E7" w14:textId="77777777" w:rsidR="00D90235" w:rsidRPr="00F15CF1" w:rsidRDefault="00D90235" w:rsidP="00D90235">
          <w:pPr>
            <w:jc w:val="center"/>
            <w:rPr>
              <w:rFonts w:ascii="Century Gothic" w:eastAsia="Aptos" w:hAnsi="Century Gothic" w:cs="Times New Roman"/>
              <w:b/>
              <w:bCs/>
              <w:sz w:val="18"/>
              <w:szCs w:val="18"/>
            </w:rPr>
          </w:pPr>
          <w:r w:rsidRPr="00F15CF1">
            <w:rPr>
              <w:rFonts w:ascii="Century Gothic" w:eastAsia="Aptos" w:hAnsi="Century Gothic" w:cs="Times New Roman"/>
              <w:b/>
              <w:bCs/>
              <w:sz w:val="18"/>
              <w:szCs w:val="18"/>
            </w:rPr>
            <w:t>Tagóvodák:</w:t>
          </w:r>
        </w:p>
        <w:p w14:paraId="43A89D24" w14:textId="77777777" w:rsidR="00D90235" w:rsidRPr="00F15CF1" w:rsidRDefault="00D90235" w:rsidP="00D90235">
          <w:pPr>
            <w:rPr>
              <w:rFonts w:ascii="Century Gothic" w:eastAsia="Aptos" w:hAnsi="Century Gothic" w:cs="Times New Roman"/>
              <w:sz w:val="18"/>
              <w:szCs w:val="18"/>
            </w:rPr>
          </w:pPr>
          <w:r w:rsidRPr="00F15CF1">
            <w:rPr>
              <w:rFonts w:ascii="Century Gothic" w:eastAsia="Aptos" w:hAnsi="Century Gothic" w:cs="Times New Roman"/>
              <w:sz w:val="18"/>
              <w:szCs w:val="18"/>
            </w:rPr>
            <w:t>Páskom óvoda (székhely)</w:t>
          </w:r>
        </w:p>
        <w:p w14:paraId="36A14406" w14:textId="77777777" w:rsidR="00D90235" w:rsidRPr="00F15CF1" w:rsidRDefault="00D90235" w:rsidP="00D90235">
          <w:pPr>
            <w:rPr>
              <w:rFonts w:ascii="Century Gothic" w:eastAsia="Aptos" w:hAnsi="Century Gothic" w:cs="Times New Roman"/>
              <w:sz w:val="18"/>
              <w:szCs w:val="18"/>
            </w:rPr>
          </w:pPr>
          <w:r w:rsidRPr="00F15CF1">
            <w:rPr>
              <w:rFonts w:ascii="Century Gothic" w:eastAsia="Aptos" w:hAnsi="Century Gothic" w:cs="Times New Roman"/>
              <w:sz w:val="18"/>
              <w:szCs w:val="18"/>
            </w:rPr>
            <w:t>Kavicsos óvoda</w:t>
          </w:r>
        </w:p>
        <w:p w14:paraId="63BB5AC4" w14:textId="77777777" w:rsidR="00D90235" w:rsidRPr="00F15CF1" w:rsidRDefault="00D90235" w:rsidP="00D90235">
          <w:pPr>
            <w:rPr>
              <w:rFonts w:ascii="Century Gothic" w:eastAsia="Aptos" w:hAnsi="Century Gothic" w:cs="Times New Roman"/>
              <w:sz w:val="18"/>
              <w:szCs w:val="18"/>
            </w:rPr>
          </w:pPr>
          <w:r w:rsidRPr="00F15CF1">
            <w:rPr>
              <w:rFonts w:ascii="Century Gothic" w:eastAsia="Aptos" w:hAnsi="Century Gothic" w:cs="Times New Roman"/>
              <w:sz w:val="18"/>
              <w:szCs w:val="18"/>
            </w:rPr>
            <w:t>Hartyán óvoda</w:t>
          </w:r>
        </w:p>
        <w:p w14:paraId="25960113" w14:textId="77777777" w:rsidR="00D90235" w:rsidRPr="00F15CF1" w:rsidRDefault="00D90235" w:rsidP="00D90235">
          <w:pPr>
            <w:rPr>
              <w:rFonts w:ascii="Century Gothic" w:eastAsia="Aptos" w:hAnsi="Century Gothic" w:cs="Times New Roman"/>
              <w:sz w:val="18"/>
              <w:szCs w:val="18"/>
            </w:rPr>
          </w:pPr>
          <w:r w:rsidRPr="00F15CF1">
            <w:rPr>
              <w:rFonts w:ascii="Century Gothic" w:eastAsia="Aptos" w:hAnsi="Century Gothic" w:cs="Times New Roman"/>
              <w:sz w:val="18"/>
              <w:szCs w:val="18"/>
            </w:rPr>
            <w:t>Micimackó óvoda</w:t>
          </w:r>
        </w:p>
        <w:p w14:paraId="06B3F0A6" w14:textId="77777777" w:rsidR="00D90235" w:rsidRPr="00F15CF1" w:rsidRDefault="00D90235" w:rsidP="00D90235">
          <w:pPr>
            <w:rPr>
              <w:rFonts w:ascii="Century Gothic" w:eastAsia="Aptos" w:hAnsi="Century Gothic" w:cs="Times New Roman"/>
              <w:sz w:val="18"/>
              <w:szCs w:val="18"/>
            </w:rPr>
          </w:pPr>
          <w:r w:rsidRPr="00F15CF1">
            <w:rPr>
              <w:rFonts w:ascii="Century Gothic" w:eastAsia="Aptos" w:hAnsi="Century Gothic" w:cs="Times New Roman"/>
              <w:sz w:val="18"/>
              <w:szCs w:val="18"/>
            </w:rPr>
            <w:t>Napsugár 1. óvoda</w:t>
          </w:r>
        </w:p>
        <w:p w14:paraId="4023D35E" w14:textId="77777777" w:rsidR="00D90235" w:rsidRPr="00F15CF1" w:rsidRDefault="00D90235" w:rsidP="00D90235">
          <w:pPr>
            <w:ind w:hanging="103"/>
            <w:jc w:val="center"/>
            <w:rPr>
              <w:rFonts w:ascii="Century Gothic" w:eastAsia="Aptos" w:hAnsi="Century Gothic" w:cs="Times New Roman"/>
              <w:sz w:val="18"/>
              <w:szCs w:val="18"/>
            </w:rPr>
          </w:pPr>
        </w:p>
      </w:tc>
    </w:tr>
  </w:tbl>
  <w:p w14:paraId="062D16B0" w14:textId="77777777" w:rsidR="00D90235" w:rsidRDefault="00D9023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37F"/>
    <w:multiLevelType w:val="hybridMultilevel"/>
    <w:tmpl w:val="ACBA11C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72A3F05"/>
    <w:multiLevelType w:val="multilevel"/>
    <w:tmpl w:val="D40E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844F80"/>
    <w:multiLevelType w:val="multilevel"/>
    <w:tmpl w:val="5D3AD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97939"/>
    <w:multiLevelType w:val="hybridMultilevel"/>
    <w:tmpl w:val="27B810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1219705">
    <w:abstractNumId w:val="2"/>
  </w:num>
  <w:num w:numId="2" w16cid:durableId="143595104">
    <w:abstractNumId w:val="1"/>
  </w:num>
  <w:num w:numId="3" w16cid:durableId="1542326450">
    <w:abstractNumId w:val="3"/>
  </w:num>
  <w:num w:numId="4" w16cid:durableId="33943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5D"/>
    <w:rsid w:val="000268EB"/>
    <w:rsid w:val="00077970"/>
    <w:rsid w:val="001D043D"/>
    <w:rsid w:val="004067A5"/>
    <w:rsid w:val="006E4B46"/>
    <w:rsid w:val="00874E5D"/>
    <w:rsid w:val="00AE268D"/>
    <w:rsid w:val="00C62D70"/>
    <w:rsid w:val="00D9023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2733A"/>
  <w15:chartTrackingRefBased/>
  <w15:docId w15:val="{E41399E3-182B-4959-8809-30A09F11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74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874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874E5D"/>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874E5D"/>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874E5D"/>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874E5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74E5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74E5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74E5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74E5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874E5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874E5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874E5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874E5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874E5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74E5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74E5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74E5D"/>
    <w:rPr>
      <w:rFonts w:eastAsiaTheme="majorEastAsia" w:cstheme="majorBidi"/>
      <w:color w:val="272727" w:themeColor="text1" w:themeTint="D8"/>
    </w:rPr>
  </w:style>
  <w:style w:type="paragraph" w:styleId="Cm">
    <w:name w:val="Title"/>
    <w:basedOn w:val="Norml"/>
    <w:next w:val="Norml"/>
    <w:link w:val="CmChar"/>
    <w:uiPriority w:val="10"/>
    <w:qFormat/>
    <w:rsid w:val="00874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74E5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74E5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74E5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74E5D"/>
    <w:pPr>
      <w:spacing w:before="160"/>
      <w:jc w:val="center"/>
    </w:pPr>
    <w:rPr>
      <w:i/>
      <w:iCs/>
      <w:color w:val="404040" w:themeColor="text1" w:themeTint="BF"/>
    </w:rPr>
  </w:style>
  <w:style w:type="character" w:customStyle="1" w:styleId="IdzetChar">
    <w:name w:val="Idézet Char"/>
    <w:basedOn w:val="Bekezdsalapbettpusa"/>
    <w:link w:val="Idzet"/>
    <w:uiPriority w:val="29"/>
    <w:rsid w:val="00874E5D"/>
    <w:rPr>
      <w:i/>
      <w:iCs/>
      <w:color w:val="404040" w:themeColor="text1" w:themeTint="BF"/>
    </w:rPr>
  </w:style>
  <w:style w:type="paragraph" w:styleId="Listaszerbekezds">
    <w:name w:val="List Paragraph"/>
    <w:basedOn w:val="Norml"/>
    <w:uiPriority w:val="34"/>
    <w:qFormat/>
    <w:rsid w:val="00874E5D"/>
    <w:pPr>
      <w:ind w:left="720"/>
      <w:contextualSpacing/>
    </w:pPr>
  </w:style>
  <w:style w:type="character" w:styleId="Erskiemels">
    <w:name w:val="Intense Emphasis"/>
    <w:basedOn w:val="Bekezdsalapbettpusa"/>
    <w:uiPriority w:val="21"/>
    <w:qFormat/>
    <w:rsid w:val="00874E5D"/>
    <w:rPr>
      <w:i/>
      <w:iCs/>
      <w:color w:val="2F5496" w:themeColor="accent1" w:themeShade="BF"/>
    </w:rPr>
  </w:style>
  <w:style w:type="paragraph" w:styleId="Kiemeltidzet">
    <w:name w:val="Intense Quote"/>
    <w:basedOn w:val="Norml"/>
    <w:next w:val="Norml"/>
    <w:link w:val="KiemeltidzetChar"/>
    <w:uiPriority w:val="30"/>
    <w:qFormat/>
    <w:rsid w:val="00874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874E5D"/>
    <w:rPr>
      <w:i/>
      <w:iCs/>
      <w:color w:val="2F5496" w:themeColor="accent1" w:themeShade="BF"/>
    </w:rPr>
  </w:style>
  <w:style w:type="character" w:styleId="Ershivatkozs">
    <w:name w:val="Intense Reference"/>
    <w:basedOn w:val="Bekezdsalapbettpusa"/>
    <w:uiPriority w:val="32"/>
    <w:qFormat/>
    <w:rsid w:val="00874E5D"/>
    <w:rPr>
      <w:b/>
      <w:bCs/>
      <w:smallCaps/>
      <w:color w:val="2F5496" w:themeColor="accent1" w:themeShade="BF"/>
      <w:spacing w:val="5"/>
    </w:rPr>
  </w:style>
  <w:style w:type="character" w:styleId="Hiperhivatkozs">
    <w:name w:val="Hyperlink"/>
    <w:basedOn w:val="Bekezdsalapbettpusa"/>
    <w:uiPriority w:val="99"/>
    <w:unhideWhenUsed/>
    <w:rsid w:val="00874E5D"/>
    <w:rPr>
      <w:color w:val="0563C1" w:themeColor="hyperlink"/>
      <w:u w:val="single"/>
    </w:rPr>
  </w:style>
  <w:style w:type="character" w:styleId="Feloldatlanmegemlts">
    <w:name w:val="Unresolved Mention"/>
    <w:basedOn w:val="Bekezdsalapbettpusa"/>
    <w:uiPriority w:val="99"/>
    <w:semiHidden/>
    <w:unhideWhenUsed/>
    <w:rsid w:val="00874E5D"/>
    <w:rPr>
      <w:color w:val="605E5C"/>
      <w:shd w:val="clear" w:color="auto" w:fill="E1DFDD"/>
    </w:rPr>
  </w:style>
  <w:style w:type="paragraph" w:styleId="lfej">
    <w:name w:val="header"/>
    <w:basedOn w:val="Norml"/>
    <w:link w:val="lfejChar"/>
    <w:uiPriority w:val="99"/>
    <w:unhideWhenUsed/>
    <w:rsid w:val="00D90235"/>
    <w:pPr>
      <w:tabs>
        <w:tab w:val="center" w:pos="4513"/>
        <w:tab w:val="right" w:pos="9026"/>
      </w:tabs>
      <w:spacing w:after="0" w:line="240" w:lineRule="auto"/>
    </w:pPr>
  </w:style>
  <w:style w:type="character" w:customStyle="1" w:styleId="lfejChar">
    <w:name w:val="Élőfej Char"/>
    <w:basedOn w:val="Bekezdsalapbettpusa"/>
    <w:link w:val="lfej"/>
    <w:uiPriority w:val="99"/>
    <w:rsid w:val="00D90235"/>
  </w:style>
  <w:style w:type="paragraph" w:styleId="llb">
    <w:name w:val="footer"/>
    <w:basedOn w:val="Norml"/>
    <w:link w:val="llbChar"/>
    <w:uiPriority w:val="99"/>
    <w:unhideWhenUsed/>
    <w:rsid w:val="00D90235"/>
    <w:pPr>
      <w:tabs>
        <w:tab w:val="center" w:pos="4513"/>
        <w:tab w:val="right" w:pos="9026"/>
      </w:tabs>
      <w:spacing w:after="0" w:line="240" w:lineRule="auto"/>
    </w:pPr>
  </w:style>
  <w:style w:type="character" w:customStyle="1" w:styleId="llbChar">
    <w:name w:val="Élőláb Char"/>
    <w:basedOn w:val="Bekezdsalapbettpusa"/>
    <w:link w:val="llb"/>
    <w:uiPriority w:val="99"/>
    <w:rsid w:val="00D90235"/>
  </w:style>
  <w:style w:type="table" w:styleId="Rcsostblzat">
    <w:name w:val="Table Grid"/>
    <w:basedOn w:val="Normltblzat"/>
    <w:uiPriority w:val="39"/>
    <w:rsid w:val="00D90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irosag.hu/birosag-kere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kozpont@ujpalotaiovi.hu" TargetMode="External"/><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6799</Characters>
  <Application>Microsoft Office Word</Application>
  <DocSecurity>0</DocSecurity>
  <Lines>56</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Miklós Péter</dc:creator>
  <cp:keywords/>
  <dc:description/>
  <cp:lastModifiedBy>titkarsag.napsugar@ujpalotaiovi.hu</cp:lastModifiedBy>
  <cp:revision>2</cp:revision>
  <dcterms:created xsi:type="dcterms:W3CDTF">2026-05-05T08:52:00Z</dcterms:created>
  <dcterms:modified xsi:type="dcterms:W3CDTF">2026-05-05T08:52:00Z</dcterms:modified>
</cp:coreProperties>
</file>